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B1B6" w14:textId="77777777" w:rsidR="00D271D8" w:rsidRDefault="00D271D8">
      <w:pPr>
        <w:spacing w:after="0" w:line="259" w:lineRule="auto"/>
        <w:ind w:left="21" w:firstLine="0"/>
        <w:jc w:val="center"/>
        <w:rPr>
          <w:sz w:val="52"/>
        </w:rPr>
      </w:pPr>
      <w:r>
        <w:rPr>
          <w:noProof/>
        </w:rPr>
        <w:drawing>
          <wp:inline distT="0" distB="0" distL="0" distR="0" wp14:anchorId="2ED7A797" wp14:editId="22450627">
            <wp:extent cx="1023620" cy="1006475"/>
            <wp:effectExtent l="1905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23620" cy="1006475"/>
                    </a:xfrm>
                    <a:prstGeom prst="rect">
                      <a:avLst/>
                    </a:prstGeom>
                    <a:noFill/>
                    <a:ln w="9525">
                      <a:noFill/>
                      <a:miter lim="800000"/>
                      <a:headEnd/>
                      <a:tailEnd/>
                    </a:ln>
                  </pic:spPr>
                </pic:pic>
              </a:graphicData>
            </a:graphic>
          </wp:inline>
        </w:drawing>
      </w:r>
    </w:p>
    <w:p w14:paraId="6C3A4AB6" w14:textId="77777777" w:rsidR="00D271D8" w:rsidRPr="006A447F" w:rsidRDefault="00D271D8">
      <w:pPr>
        <w:spacing w:after="0" w:line="259" w:lineRule="auto"/>
        <w:ind w:left="21" w:firstLine="0"/>
        <w:jc w:val="center"/>
        <w:rPr>
          <w:rFonts w:asciiTheme="minorHAnsi" w:hAnsiTheme="minorHAnsi" w:cstheme="minorHAnsi"/>
          <w:sz w:val="32"/>
          <w:szCs w:val="24"/>
        </w:rPr>
      </w:pPr>
      <w:r w:rsidRPr="006A447F">
        <w:rPr>
          <w:rFonts w:asciiTheme="minorHAnsi" w:hAnsiTheme="minorHAnsi" w:cstheme="minorHAnsi"/>
          <w:sz w:val="32"/>
          <w:szCs w:val="24"/>
        </w:rPr>
        <w:t>Busy Bees Preschool</w:t>
      </w:r>
    </w:p>
    <w:p w14:paraId="13511FC8" w14:textId="77777777" w:rsidR="0046242A" w:rsidRPr="006A447F" w:rsidRDefault="003B02C9">
      <w:pPr>
        <w:spacing w:after="0" w:line="259" w:lineRule="auto"/>
        <w:ind w:left="21" w:firstLine="0"/>
        <w:jc w:val="center"/>
        <w:rPr>
          <w:rFonts w:asciiTheme="minorHAnsi" w:hAnsiTheme="minorHAnsi" w:cstheme="minorHAnsi"/>
          <w:sz w:val="32"/>
          <w:szCs w:val="24"/>
        </w:rPr>
      </w:pPr>
      <w:r w:rsidRPr="006A447F">
        <w:rPr>
          <w:rFonts w:asciiTheme="minorHAnsi" w:hAnsiTheme="minorHAnsi" w:cstheme="minorHAnsi"/>
          <w:sz w:val="32"/>
          <w:szCs w:val="24"/>
        </w:rPr>
        <w:t xml:space="preserve">Early Years Pupil Premium </w:t>
      </w:r>
    </w:p>
    <w:p w14:paraId="2A3CF248" w14:textId="77777777" w:rsidR="0046242A" w:rsidRPr="006A447F" w:rsidRDefault="003B02C9">
      <w:pPr>
        <w:spacing w:after="88" w:line="259" w:lineRule="auto"/>
        <w:ind w:left="0" w:firstLine="0"/>
        <w:rPr>
          <w:rFonts w:asciiTheme="minorHAnsi" w:hAnsiTheme="minorHAnsi" w:cstheme="minorHAnsi"/>
          <w:szCs w:val="24"/>
        </w:rPr>
      </w:pPr>
      <w:r w:rsidRPr="006A447F">
        <w:rPr>
          <w:rFonts w:asciiTheme="minorHAnsi" w:hAnsiTheme="minorHAnsi" w:cstheme="minorHAnsi"/>
          <w:szCs w:val="24"/>
        </w:rPr>
        <w:t xml:space="preserve"> </w:t>
      </w:r>
    </w:p>
    <w:p w14:paraId="7F277797" w14:textId="77777777" w:rsidR="0046242A" w:rsidRPr="006A447F" w:rsidRDefault="003B02C9">
      <w:pPr>
        <w:pStyle w:val="Heading1"/>
        <w:ind w:left="-5"/>
        <w:rPr>
          <w:rFonts w:asciiTheme="minorHAnsi" w:hAnsiTheme="minorHAnsi" w:cstheme="minorHAnsi"/>
          <w:sz w:val="24"/>
          <w:szCs w:val="24"/>
        </w:rPr>
      </w:pPr>
      <w:r w:rsidRPr="006A447F">
        <w:rPr>
          <w:rFonts w:asciiTheme="minorHAnsi" w:hAnsiTheme="minorHAnsi" w:cstheme="minorHAnsi"/>
          <w:sz w:val="24"/>
          <w:szCs w:val="24"/>
        </w:rPr>
        <w:t xml:space="preserve">Overview </w:t>
      </w:r>
    </w:p>
    <w:p w14:paraId="2823C7FB" w14:textId="77777777" w:rsidR="0046242A" w:rsidRPr="006A447F" w:rsidRDefault="003B02C9">
      <w:pPr>
        <w:spacing w:after="0" w:line="259" w:lineRule="auto"/>
        <w:ind w:left="0" w:firstLine="0"/>
        <w:rPr>
          <w:rFonts w:asciiTheme="minorHAnsi" w:hAnsiTheme="minorHAnsi" w:cstheme="minorHAnsi"/>
          <w:szCs w:val="24"/>
        </w:rPr>
      </w:pPr>
      <w:r w:rsidRPr="006A447F">
        <w:rPr>
          <w:rFonts w:asciiTheme="minorHAnsi" w:hAnsiTheme="minorHAnsi" w:cstheme="minorHAnsi"/>
          <w:szCs w:val="24"/>
        </w:rPr>
        <w:t xml:space="preserve"> </w:t>
      </w:r>
    </w:p>
    <w:p w14:paraId="7FBB9FDA" w14:textId="77777777" w:rsidR="0046242A" w:rsidRPr="006A447F" w:rsidRDefault="003B02C9">
      <w:pPr>
        <w:ind w:left="-5"/>
        <w:rPr>
          <w:rFonts w:asciiTheme="minorHAnsi" w:hAnsiTheme="minorHAnsi" w:cstheme="minorHAnsi"/>
          <w:szCs w:val="24"/>
        </w:rPr>
      </w:pPr>
      <w:r w:rsidRPr="006A447F">
        <w:rPr>
          <w:rFonts w:asciiTheme="minorHAnsi" w:hAnsiTheme="minorHAnsi" w:cstheme="minorHAnsi"/>
          <w:szCs w:val="24"/>
        </w:rPr>
        <w:t xml:space="preserve">From April 2015, nurseries, schools, childminders and other childcare providers will be able to claim extra funding through the Early Years Pupil Premium to support children’s development, learning and care. The following information will explain what the Early Years Pupil Premium and who is eligible for this funding.   </w:t>
      </w:r>
    </w:p>
    <w:p w14:paraId="5BF06CD3" w14:textId="77777777" w:rsidR="0046242A" w:rsidRPr="006A447F" w:rsidRDefault="003B02C9">
      <w:pPr>
        <w:spacing w:after="0" w:line="259" w:lineRule="auto"/>
        <w:ind w:left="0" w:firstLine="0"/>
        <w:rPr>
          <w:rFonts w:asciiTheme="minorHAnsi" w:hAnsiTheme="minorHAnsi" w:cstheme="minorHAnsi"/>
          <w:szCs w:val="24"/>
        </w:rPr>
      </w:pPr>
      <w:r w:rsidRPr="006A447F">
        <w:rPr>
          <w:rFonts w:asciiTheme="minorHAnsi" w:hAnsiTheme="minorHAnsi" w:cstheme="minorHAnsi"/>
          <w:szCs w:val="24"/>
        </w:rPr>
        <w:t xml:space="preserve"> </w:t>
      </w:r>
    </w:p>
    <w:p w14:paraId="318BB398" w14:textId="77777777" w:rsidR="0046242A" w:rsidRPr="006A447F" w:rsidRDefault="003B02C9">
      <w:pPr>
        <w:ind w:left="-5"/>
        <w:rPr>
          <w:rFonts w:asciiTheme="minorHAnsi" w:hAnsiTheme="minorHAnsi" w:cstheme="minorHAnsi"/>
          <w:szCs w:val="24"/>
        </w:rPr>
      </w:pPr>
      <w:r w:rsidRPr="006A447F">
        <w:rPr>
          <w:rFonts w:asciiTheme="minorHAnsi" w:hAnsiTheme="minorHAnsi" w:cstheme="minorHAnsi"/>
          <w:szCs w:val="24"/>
        </w:rPr>
        <w:t xml:space="preserve">National data and research tells that children eligible for free school meals tend to do less well, for example in 2014 45% of children eligible for free school meals achieved the expected level at the end of the early years foundation stage compared with 64% of other children.  The Early Years Pupil Premium will provide us with extra funding to close this gap.  </w:t>
      </w:r>
    </w:p>
    <w:p w14:paraId="577598FF" w14:textId="77777777" w:rsidR="0046242A" w:rsidRPr="006A447F" w:rsidRDefault="003B02C9">
      <w:pPr>
        <w:spacing w:after="0" w:line="259" w:lineRule="auto"/>
        <w:ind w:left="0" w:firstLine="0"/>
        <w:rPr>
          <w:rFonts w:asciiTheme="minorHAnsi" w:hAnsiTheme="minorHAnsi" w:cstheme="minorHAnsi"/>
          <w:szCs w:val="24"/>
        </w:rPr>
      </w:pPr>
      <w:r w:rsidRPr="006A447F">
        <w:rPr>
          <w:rFonts w:asciiTheme="minorHAnsi" w:hAnsiTheme="minorHAnsi" w:cstheme="minorHAnsi"/>
          <w:szCs w:val="24"/>
        </w:rPr>
        <w:t xml:space="preserve"> </w:t>
      </w:r>
    </w:p>
    <w:p w14:paraId="557B531D" w14:textId="77777777" w:rsidR="0046242A" w:rsidRPr="006A447F" w:rsidRDefault="003B02C9">
      <w:pPr>
        <w:ind w:left="-5"/>
        <w:rPr>
          <w:rFonts w:asciiTheme="minorHAnsi" w:hAnsiTheme="minorHAnsi" w:cstheme="minorHAnsi"/>
          <w:szCs w:val="24"/>
        </w:rPr>
      </w:pPr>
      <w:r w:rsidRPr="006A447F">
        <w:rPr>
          <w:rFonts w:asciiTheme="minorHAnsi" w:hAnsiTheme="minorHAnsi" w:cstheme="minorHAnsi"/>
          <w:szCs w:val="24"/>
        </w:rPr>
        <w:t xml:space="preserve">The Early Years Pupil Premium provides an extra 53 pence per hour for three and four year old children whose parents are in receipt of certain benefits or who were formally in local authority care but who left care because they were adopted or were subject to a special guardianship or child arrangements order. This means an extra £302 a year for each child taking up the full 570 hours funded entitlement to early education.  This additional money could make a significant difference to us.  </w:t>
      </w:r>
    </w:p>
    <w:p w14:paraId="77306FA0" w14:textId="77777777" w:rsidR="0046242A" w:rsidRPr="006A447F" w:rsidRDefault="003B02C9">
      <w:pPr>
        <w:spacing w:after="0" w:line="259" w:lineRule="auto"/>
        <w:ind w:left="0" w:firstLine="0"/>
        <w:rPr>
          <w:rFonts w:asciiTheme="minorHAnsi" w:hAnsiTheme="minorHAnsi" w:cstheme="minorHAnsi"/>
          <w:szCs w:val="24"/>
        </w:rPr>
      </w:pPr>
      <w:r w:rsidRPr="006A447F">
        <w:rPr>
          <w:rFonts w:asciiTheme="minorHAnsi" w:hAnsiTheme="minorHAnsi" w:cstheme="minorHAnsi"/>
          <w:szCs w:val="24"/>
        </w:rPr>
        <w:t xml:space="preserve"> </w:t>
      </w:r>
    </w:p>
    <w:p w14:paraId="18374324" w14:textId="77777777" w:rsidR="0046242A" w:rsidRPr="006A447F" w:rsidRDefault="003B02C9">
      <w:pPr>
        <w:ind w:left="-5"/>
        <w:rPr>
          <w:rFonts w:asciiTheme="minorHAnsi" w:hAnsiTheme="minorHAnsi" w:cstheme="minorHAnsi"/>
          <w:szCs w:val="24"/>
        </w:rPr>
      </w:pPr>
      <w:r w:rsidRPr="006A447F">
        <w:rPr>
          <w:rFonts w:asciiTheme="minorHAnsi" w:hAnsiTheme="minorHAnsi" w:cstheme="minorHAnsi"/>
          <w:szCs w:val="24"/>
        </w:rPr>
        <w:t>We</w:t>
      </w:r>
      <w:r w:rsidRPr="006A447F">
        <w:rPr>
          <w:rFonts w:asciiTheme="minorHAnsi" w:hAnsiTheme="minorHAnsi" w:cstheme="minorHAnsi"/>
          <w:i/>
          <w:szCs w:val="24"/>
        </w:rPr>
        <w:t xml:space="preserve"> </w:t>
      </w:r>
      <w:r w:rsidRPr="006A447F">
        <w:rPr>
          <w:rFonts w:asciiTheme="minorHAnsi" w:hAnsiTheme="minorHAnsi" w:cstheme="minorHAnsi"/>
          <w:szCs w:val="24"/>
        </w:rPr>
        <w:t>can use the</w:t>
      </w:r>
      <w:r w:rsidRPr="006A447F">
        <w:rPr>
          <w:rFonts w:asciiTheme="minorHAnsi" w:hAnsiTheme="minorHAnsi" w:cstheme="minorHAnsi"/>
          <w:i/>
          <w:szCs w:val="24"/>
        </w:rPr>
        <w:t xml:space="preserve"> </w:t>
      </w:r>
      <w:r w:rsidRPr="006A447F">
        <w:rPr>
          <w:rFonts w:asciiTheme="minorHAnsi" w:hAnsiTheme="minorHAnsi" w:cstheme="minorHAnsi"/>
          <w:szCs w:val="24"/>
        </w:rPr>
        <w:t>extra funding</w:t>
      </w:r>
      <w:r w:rsidRPr="006A447F">
        <w:rPr>
          <w:rFonts w:asciiTheme="minorHAnsi" w:hAnsiTheme="minorHAnsi" w:cstheme="minorHAnsi"/>
          <w:i/>
          <w:szCs w:val="24"/>
        </w:rPr>
        <w:t xml:space="preserve"> </w:t>
      </w:r>
      <w:r w:rsidRPr="006A447F">
        <w:rPr>
          <w:rFonts w:asciiTheme="minorHAnsi" w:hAnsiTheme="minorHAnsi" w:cstheme="minorHAnsi"/>
          <w:szCs w:val="24"/>
        </w:rPr>
        <w:t xml:space="preserve">in any way we choose to improve the quality of the Early Years education that we provide for your child. This could include for example additional training for our staff on early language, investing in partnership working with our colleagues in the area to further our expertise or supporting our staff in working on specialised areas such as speech and language. </w:t>
      </w:r>
      <w:r w:rsidRPr="006A447F">
        <w:rPr>
          <w:rFonts w:asciiTheme="minorHAnsi" w:hAnsiTheme="minorHAnsi" w:cstheme="minorHAnsi"/>
          <w:i/>
          <w:szCs w:val="24"/>
        </w:rPr>
        <w:t xml:space="preserve"> </w:t>
      </w:r>
    </w:p>
    <w:p w14:paraId="1B1772DA" w14:textId="77777777" w:rsidR="0046242A" w:rsidRPr="006A447F" w:rsidRDefault="003B02C9">
      <w:pPr>
        <w:spacing w:after="0" w:line="259" w:lineRule="auto"/>
        <w:ind w:left="0" w:firstLine="0"/>
        <w:rPr>
          <w:rFonts w:asciiTheme="minorHAnsi" w:hAnsiTheme="minorHAnsi" w:cstheme="minorHAnsi"/>
          <w:szCs w:val="24"/>
        </w:rPr>
      </w:pPr>
      <w:r w:rsidRPr="006A447F">
        <w:rPr>
          <w:rFonts w:asciiTheme="minorHAnsi" w:hAnsiTheme="minorHAnsi" w:cstheme="minorHAnsi"/>
          <w:szCs w:val="24"/>
        </w:rPr>
        <w:t xml:space="preserve"> </w:t>
      </w:r>
    </w:p>
    <w:p w14:paraId="6D9DE691" w14:textId="77777777" w:rsidR="0046242A" w:rsidRPr="006A447F" w:rsidRDefault="003B02C9">
      <w:pPr>
        <w:ind w:left="-5"/>
        <w:rPr>
          <w:rFonts w:asciiTheme="minorHAnsi" w:hAnsiTheme="minorHAnsi" w:cstheme="minorHAnsi"/>
          <w:szCs w:val="24"/>
        </w:rPr>
      </w:pPr>
      <w:r w:rsidRPr="006A447F">
        <w:rPr>
          <w:rFonts w:asciiTheme="minorHAnsi" w:hAnsiTheme="minorHAnsi" w:cstheme="minorHAnsi"/>
          <w:szCs w:val="24"/>
        </w:rPr>
        <w:t xml:space="preserve">It is well documented that high quality early education can influence how well a child does at both primary and secondary school so we do want to make the most of this additional funding. You may be aware if you have older children that a pupil premium has been available for school age children and it has proved to have given a real boost to the children receiving the funding. We want to do the same for our early years children entitled to this funding. </w:t>
      </w:r>
    </w:p>
    <w:p w14:paraId="5DA32C8E" w14:textId="77777777" w:rsidR="0046242A" w:rsidRPr="006A447F" w:rsidRDefault="003B02C9">
      <w:pPr>
        <w:spacing w:after="367" w:line="259" w:lineRule="auto"/>
        <w:ind w:left="0" w:firstLine="0"/>
        <w:rPr>
          <w:rFonts w:asciiTheme="minorHAnsi" w:hAnsiTheme="minorHAnsi" w:cstheme="minorHAnsi"/>
          <w:szCs w:val="24"/>
        </w:rPr>
      </w:pPr>
      <w:r w:rsidRPr="006A447F">
        <w:rPr>
          <w:rFonts w:asciiTheme="minorHAnsi" w:hAnsiTheme="minorHAnsi" w:cstheme="minorHAnsi"/>
          <w:szCs w:val="24"/>
        </w:rPr>
        <w:t xml:space="preserve"> </w:t>
      </w:r>
    </w:p>
    <w:p w14:paraId="57F1225E" w14:textId="77777777" w:rsidR="0046242A" w:rsidRPr="006A447F" w:rsidRDefault="003B02C9">
      <w:pPr>
        <w:pStyle w:val="Heading1"/>
        <w:spacing w:after="139"/>
        <w:ind w:left="-5"/>
        <w:rPr>
          <w:rFonts w:asciiTheme="minorHAnsi" w:hAnsiTheme="minorHAnsi" w:cstheme="minorHAnsi"/>
          <w:sz w:val="24"/>
          <w:szCs w:val="24"/>
        </w:rPr>
      </w:pPr>
      <w:r w:rsidRPr="006A447F">
        <w:rPr>
          <w:rFonts w:asciiTheme="minorHAnsi" w:hAnsiTheme="minorHAnsi" w:cstheme="minorHAnsi"/>
          <w:sz w:val="24"/>
          <w:szCs w:val="24"/>
        </w:rPr>
        <w:t xml:space="preserve">Eligibility </w:t>
      </w:r>
    </w:p>
    <w:p w14:paraId="58C067BC" w14:textId="77777777" w:rsidR="0046242A" w:rsidRPr="006A447F" w:rsidRDefault="003B02C9">
      <w:pPr>
        <w:spacing w:after="274"/>
        <w:ind w:left="-5"/>
        <w:rPr>
          <w:rFonts w:asciiTheme="minorHAnsi" w:hAnsiTheme="minorHAnsi" w:cstheme="minorHAnsi"/>
          <w:szCs w:val="24"/>
        </w:rPr>
      </w:pPr>
      <w:r w:rsidRPr="006A447F">
        <w:rPr>
          <w:rFonts w:asciiTheme="minorHAnsi" w:hAnsiTheme="minorHAnsi" w:cstheme="minorHAnsi"/>
          <w:szCs w:val="24"/>
        </w:rPr>
        <w:t xml:space="preserve">3- and 4-year-olds in state-funded early education will attract Early Years Pupil Premium funding if they meet at least 1 of the following criteria: </w:t>
      </w:r>
    </w:p>
    <w:p w14:paraId="68586D3D" w14:textId="77777777" w:rsidR="0046242A" w:rsidRPr="006A447F" w:rsidRDefault="003B02C9" w:rsidP="00D271D8">
      <w:pPr>
        <w:numPr>
          <w:ilvl w:val="0"/>
          <w:numId w:val="1"/>
        </w:numPr>
        <w:ind w:left="180" w:hanging="180"/>
        <w:rPr>
          <w:rFonts w:asciiTheme="minorHAnsi" w:hAnsiTheme="minorHAnsi" w:cstheme="minorHAnsi"/>
          <w:szCs w:val="24"/>
        </w:rPr>
      </w:pPr>
      <w:r w:rsidRPr="006A447F">
        <w:rPr>
          <w:rFonts w:asciiTheme="minorHAnsi" w:hAnsiTheme="minorHAnsi" w:cstheme="minorHAnsi"/>
          <w:szCs w:val="24"/>
        </w:rPr>
        <w:t xml:space="preserve">their family gets 1 of the following: </w:t>
      </w:r>
    </w:p>
    <w:p w14:paraId="2363A41D" w14:textId="77777777" w:rsidR="0046242A" w:rsidRPr="006A447F" w:rsidRDefault="006A447F" w:rsidP="00D271D8">
      <w:pPr>
        <w:numPr>
          <w:ilvl w:val="1"/>
          <w:numId w:val="1"/>
        </w:numPr>
        <w:ind w:left="990" w:hanging="450"/>
        <w:rPr>
          <w:rFonts w:asciiTheme="minorHAnsi" w:hAnsiTheme="minorHAnsi" w:cstheme="minorHAnsi"/>
          <w:szCs w:val="24"/>
        </w:rPr>
      </w:pPr>
      <w:hyperlink r:id="rId7">
        <w:r w:rsidR="003B02C9" w:rsidRPr="006A447F">
          <w:rPr>
            <w:rFonts w:asciiTheme="minorHAnsi" w:hAnsiTheme="minorHAnsi" w:cstheme="minorHAnsi"/>
            <w:szCs w:val="24"/>
          </w:rPr>
          <w:t>Income Support</w:t>
        </w:r>
      </w:hyperlink>
      <w:hyperlink r:id="rId8">
        <w:r w:rsidR="003B02C9" w:rsidRPr="006A447F">
          <w:rPr>
            <w:rFonts w:asciiTheme="minorHAnsi" w:hAnsiTheme="minorHAnsi" w:cstheme="minorHAnsi"/>
            <w:szCs w:val="24"/>
          </w:rPr>
          <w:t xml:space="preserve"> </w:t>
        </w:r>
      </w:hyperlink>
      <w:r w:rsidR="003B02C9" w:rsidRPr="006A447F">
        <w:rPr>
          <w:rFonts w:asciiTheme="minorHAnsi" w:hAnsiTheme="minorHAnsi" w:cstheme="minorHAnsi"/>
          <w:szCs w:val="24"/>
        </w:rPr>
        <w:t xml:space="preserve"> </w:t>
      </w:r>
    </w:p>
    <w:p w14:paraId="409BB60A" w14:textId="77777777" w:rsidR="0046242A" w:rsidRPr="006A447F" w:rsidRDefault="003B02C9" w:rsidP="00D271D8">
      <w:pPr>
        <w:numPr>
          <w:ilvl w:val="1"/>
          <w:numId w:val="1"/>
        </w:numPr>
        <w:ind w:left="990" w:hanging="450"/>
        <w:rPr>
          <w:rFonts w:asciiTheme="minorHAnsi" w:hAnsiTheme="minorHAnsi" w:cstheme="minorHAnsi"/>
          <w:szCs w:val="24"/>
        </w:rPr>
      </w:pPr>
      <w:r w:rsidRPr="006A447F">
        <w:rPr>
          <w:rFonts w:asciiTheme="minorHAnsi" w:hAnsiTheme="minorHAnsi" w:cstheme="minorHAnsi"/>
          <w:szCs w:val="24"/>
        </w:rPr>
        <w:t xml:space="preserve">income-based </w:t>
      </w:r>
      <w:hyperlink r:id="rId9">
        <w:r w:rsidRPr="006A447F">
          <w:rPr>
            <w:rFonts w:asciiTheme="minorHAnsi" w:hAnsiTheme="minorHAnsi" w:cstheme="minorHAnsi"/>
            <w:szCs w:val="24"/>
          </w:rPr>
          <w:t>Jobseeker’s Allowance</w:t>
        </w:r>
      </w:hyperlink>
      <w:hyperlink r:id="rId10">
        <w:r w:rsidRPr="006A447F">
          <w:rPr>
            <w:rFonts w:asciiTheme="minorHAnsi" w:hAnsiTheme="minorHAnsi" w:cstheme="minorHAnsi"/>
            <w:szCs w:val="24"/>
          </w:rPr>
          <w:t xml:space="preserve"> </w:t>
        </w:r>
      </w:hyperlink>
      <w:r w:rsidRPr="006A447F">
        <w:rPr>
          <w:rFonts w:asciiTheme="minorHAnsi" w:hAnsiTheme="minorHAnsi" w:cstheme="minorHAnsi"/>
          <w:szCs w:val="24"/>
        </w:rPr>
        <w:t xml:space="preserve"> </w:t>
      </w:r>
      <w:r w:rsidRPr="006A447F">
        <w:rPr>
          <w:rFonts w:asciiTheme="minorHAnsi" w:eastAsia="Courier New" w:hAnsiTheme="minorHAnsi" w:cstheme="minorHAnsi"/>
          <w:szCs w:val="24"/>
        </w:rPr>
        <w:t>o</w:t>
      </w:r>
      <w:r w:rsidRPr="006A447F">
        <w:rPr>
          <w:rFonts w:asciiTheme="minorHAnsi" w:hAnsiTheme="minorHAnsi" w:cstheme="minorHAnsi"/>
          <w:szCs w:val="24"/>
        </w:rPr>
        <w:t xml:space="preserve"> income-related </w:t>
      </w:r>
      <w:hyperlink r:id="rId11">
        <w:r w:rsidRPr="006A447F">
          <w:rPr>
            <w:rFonts w:asciiTheme="minorHAnsi" w:hAnsiTheme="minorHAnsi" w:cstheme="minorHAnsi"/>
            <w:szCs w:val="24"/>
          </w:rPr>
          <w:t>Employment and Support Allowance</w:t>
        </w:r>
      </w:hyperlink>
      <w:hyperlink r:id="rId12">
        <w:r w:rsidRPr="006A447F">
          <w:rPr>
            <w:rFonts w:asciiTheme="minorHAnsi" w:hAnsiTheme="minorHAnsi" w:cstheme="minorHAnsi"/>
            <w:szCs w:val="24"/>
          </w:rPr>
          <w:t xml:space="preserve"> </w:t>
        </w:r>
      </w:hyperlink>
      <w:r w:rsidRPr="006A447F">
        <w:rPr>
          <w:rFonts w:asciiTheme="minorHAnsi" w:hAnsiTheme="minorHAnsi" w:cstheme="minorHAnsi"/>
          <w:szCs w:val="24"/>
        </w:rPr>
        <w:t xml:space="preserve"> </w:t>
      </w:r>
      <w:r w:rsidRPr="006A447F">
        <w:rPr>
          <w:rFonts w:asciiTheme="minorHAnsi" w:eastAsia="Courier New" w:hAnsiTheme="minorHAnsi" w:cstheme="minorHAnsi"/>
          <w:szCs w:val="24"/>
        </w:rPr>
        <w:t>o</w:t>
      </w:r>
      <w:r w:rsidRPr="006A447F">
        <w:rPr>
          <w:rFonts w:asciiTheme="minorHAnsi" w:hAnsiTheme="minorHAnsi" w:cstheme="minorHAnsi"/>
          <w:szCs w:val="24"/>
        </w:rPr>
        <w:t xml:space="preserve"> support under </w:t>
      </w:r>
      <w:hyperlink r:id="rId13">
        <w:r w:rsidRPr="006A447F">
          <w:rPr>
            <w:rFonts w:asciiTheme="minorHAnsi" w:hAnsiTheme="minorHAnsi" w:cstheme="minorHAnsi"/>
            <w:szCs w:val="24"/>
          </w:rPr>
          <w:t>part VI of the Immigration and Asylum Act 1999</w:t>
        </w:r>
      </w:hyperlink>
      <w:hyperlink r:id="rId14">
        <w:r w:rsidRPr="006A447F">
          <w:rPr>
            <w:rFonts w:asciiTheme="minorHAnsi" w:hAnsiTheme="minorHAnsi" w:cstheme="minorHAnsi"/>
            <w:szCs w:val="24"/>
          </w:rPr>
          <w:t xml:space="preserve"> </w:t>
        </w:r>
      </w:hyperlink>
      <w:r w:rsidRPr="006A447F">
        <w:rPr>
          <w:rFonts w:asciiTheme="minorHAnsi" w:hAnsiTheme="minorHAnsi" w:cstheme="minorHAnsi"/>
          <w:szCs w:val="24"/>
        </w:rPr>
        <w:t xml:space="preserve"> </w:t>
      </w:r>
      <w:r w:rsidRPr="006A447F">
        <w:rPr>
          <w:rFonts w:asciiTheme="minorHAnsi" w:eastAsia="Courier New" w:hAnsiTheme="minorHAnsi" w:cstheme="minorHAnsi"/>
          <w:szCs w:val="24"/>
        </w:rPr>
        <w:t>o</w:t>
      </w:r>
      <w:r w:rsidRPr="006A447F">
        <w:rPr>
          <w:rFonts w:asciiTheme="minorHAnsi" w:hAnsiTheme="minorHAnsi" w:cstheme="minorHAnsi"/>
          <w:szCs w:val="24"/>
        </w:rPr>
        <w:t xml:space="preserve"> the guaranteed element of </w:t>
      </w:r>
      <w:hyperlink r:id="rId15">
        <w:r w:rsidRPr="006A447F">
          <w:rPr>
            <w:rFonts w:asciiTheme="minorHAnsi" w:hAnsiTheme="minorHAnsi" w:cstheme="minorHAnsi"/>
            <w:szCs w:val="24"/>
          </w:rPr>
          <w:t>State Pension Credit</w:t>
        </w:r>
      </w:hyperlink>
      <w:hyperlink r:id="rId16">
        <w:r w:rsidRPr="006A447F">
          <w:rPr>
            <w:rFonts w:asciiTheme="minorHAnsi" w:hAnsiTheme="minorHAnsi" w:cstheme="minorHAnsi"/>
            <w:szCs w:val="24"/>
          </w:rPr>
          <w:t xml:space="preserve"> </w:t>
        </w:r>
      </w:hyperlink>
      <w:r w:rsidRPr="006A447F">
        <w:rPr>
          <w:rFonts w:asciiTheme="minorHAnsi" w:hAnsiTheme="minorHAnsi" w:cstheme="minorHAnsi"/>
          <w:szCs w:val="24"/>
        </w:rPr>
        <w:t xml:space="preserve"> </w:t>
      </w:r>
    </w:p>
    <w:p w14:paraId="30A37EBE" w14:textId="77777777" w:rsidR="0046242A" w:rsidRPr="006A447F" w:rsidRDefault="006A447F" w:rsidP="00D271D8">
      <w:pPr>
        <w:numPr>
          <w:ilvl w:val="1"/>
          <w:numId w:val="1"/>
        </w:numPr>
        <w:ind w:left="990" w:hanging="450"/>
        <w:rPr>
          <w:rFonts w:asciiTheme="minorHAnsi" w:hAnsiTheme="minorHAnsi" w:cstheme="minorHAnsi"/>
          <w:szCs w:val="24"/>
        </w:rPr>
      </w:pPr>
      <w:hyperlink r:id="rId17">
        <w:r w:rsidR="003B02C9" w:rsidRPr="006A447F">
          <w:rPr>
            <w:rFonts w:asciiTheme="minorHAnsi" w:hAnsiTheme="minorHAnsi" w:cstheme="minorHAnsi"/>
            <w:szCs w:val="24"/>
          </w:rPr>
          <w:t>Child Tax Credit</w:t>
        </w:r>
      </w:hyperlink>
      <w:hyperlink r:id="rId18">
        <w:r w:rsidR="003B02C9" w:rsidRPr="006A447F">
          <w:rPr>
            <w:rFonts w:asciiTheme="minorHAnsi" w:hAnsiTheme="minorHAnsi" w:cstheme="minorHAnsi"/>
            <w:szCs w:val="24"/>
          </w:rPr>
          <w:t xml:space="preserve"> </w:t>
        </w:r>
      </w:hyperlink>
      <w:r w:rsidR="003B02C9" w:rsidRPr="006A447F">
        <w:rPr>
          <w:rFonts w:asciiTheme="minorHAnsi" w:hAnsiTheme="minorHAnsi" w:cstheme="minorHAnsi"/>
          <w:szCs w:val="24"/>
        </w:rPr>
        <w:t xml:space="preserve">(provided they’re not also entitled to </w:t>
      </w:r>
      <w:hyperlink r:id="rId19">
        <w:r w:rsidR="003B02C9" w:rsidRPr="006A447F">
          <w:rPr>
            <w:rFonts w:asciiTheme="minorHAnsi" w:hAnsiTheme="minorHAnsi" w:cstheme="minorHAnsi"/>
            <w:szCs w:val="24"/>
          </w:rPr>
          <w:t>Working Tax</w:t>
        </w:r>
      </w:hyperlink>
      <w:hyperlink r:id="rId20">
        <w:r w:rsidR="003B02C9" w:rsidRPr="006A447F">
          <w:rPr>
            <w:rFonts w:asciiTheme="minorHAnsi" w:hAnsiTheme="minorHAnsi" w:cstheme="minorHAnsi"/>
            <w:color w:val="0000FF"/>
            <w:szCs w:val="24"/>
          </w:rPr>
          <w:t xml:space="preserve"> </w:t>
        </w:r>
      </w:hyperlink>
    </w:p>
    <w:p w14:paraId="0B420216" w14:textId="77777777" w:rsidR="00D271D8" w:rsidRPr="006A447F" w:rsidRDefault="00D271D8" w:rsidP="00D271D8">
      <w:pPr>
        <w:ind w:left="990" w:right="309" w:hanging="450"/>
        <w:rPr>
          <w:rFonts w:asciiTheme="minorHAnsi" w:hAnsiTheme="minorHAnsi" w:cstheme="minorHAnsi"/>
          <w:szCs w:val="24"/>
        </w:rPr>
      </w:pPr>
      <w:r w:rsidRPr="006A447F">
        <w:rPr>
          <w:rFonts w:asciiTheme="minorHAnsi" w:hAnsiTheme="minorHAnsi" w:cstheme="minorHAnsi"/>
          <w:szCs w:val="24"/>
        </w:rPr>
        <w:t xml:space="preserve">      </w:t>
      </w:r>
      <w:hyperlink r:id="rId21">
        <w:r w:rsidR="003B02C9" w:rsidRPr="006A447F">
          <w:rPr>
            <w:rFonts w:asciiTheme="minorHAnsi" w:hAnsiTheme="minorHAnsi" w:cstheme="minorHAnsi"/>
            <w:szCs w:val="24"/>
          </w:rPr>
          <w:t>Credit</w:t>
        </w:r>
      </w:hyperlink>
      <w:hyperlink r:id="rId22">
        <w:r w:rsidR="003B02C9" w:rsidRPr="006A447F">
          <w:rPr>
            <w:rFonts w:asciiTheme="minorHAnsi" w:hAnsiTheme="minorHAnsi" w:cstheme="minorHAnsi"/>
            <w:szCs w:val="24"/>
          </w:rPr>
          <w:t xml:space="preserve"> </w:t>
        </w:r>
      </w:hyperlink>
      <w:r w:rsidR="003B02C9" w:rsidRPr="006A447F">
        <w:rPr>
          <w:rFonts w:asciiTheme="minorHAnsi" w:hAnsiTheme="minorHAnsi" w:cstheme="minorHAnsi"/>
          <w:szCs w:val="24"/>
        </w:rPr>
        <w:t>and have an annual gross income of no more than £16,190)</w:t>
      </w:r>
    </w:p>
    <w:p w14:paraId="7E56CF45" w14:textId="77777777" w:rsidR="0046242A" w:rsidRPr="006A447F" w:rsidRDefault="003B02C9" w:rsidP="00D271D8">
      <w:pPr>
        <w:pStyle w:val="ListParagraph"/>
        <w:numPr>
          <w:ilvl w:val="0"/>
          <w:numId w:val="2"/>
        </w:numPr>
        <w:ind w:left="900" w:right="309"/>
        <w:rPr>
          <w:rFonts w:asciiTheme="minorHAnsi" w:hAnsiTheme="minorHAnsi" w:cstheme="minorHAnsi"/>
          <w:szCs w:val="24"/>
        </w:rPr>
      </w:pPr>
      <w:r w:rsidRPr="006A447F">
        <w:rPr>
          <w:rFonts w:asciiTheme="minorHAnsi" w:hAnsiTheme="minorHAnsi" w:cstheme="minorHAnsi"/>
          <w:szCs w:val="24"/>
        </w:rPr>
        <w:t xml:space="preserve"> </w:t>
      </w:r>
      <w:hyperlink r:id="rId23">
        <w:r w:rsidRPr="006A447F">
          <w:rPr>
            <w:rFonts w:asciiTheme="minorHAnsi" w:hAnsiTheme="minorHAnsi" w:cstheme="minorHAnsi"/>
            <w:szCs w:val="24"/>
          </w:rPr>
          <w:t>Working Tax Credit</w:t>
        </w:r>
      </w:hyperlink>
      <w:hyperlink r:id="rId24">
        <w:r w:rsidRPr="006A447F">
          <w:rPr>
            <w:rFonts w:asciiTheme="minorHAnsi" w:hAnsiTheme="minorHAnsi" w:cstheme="minorHAnsi"/>
            <w:szCs w:val="24"/>
          </w:rPr>
          <w:t xml:space="preserve"> </w:t>
        </w:r>
      </w:hyperlink>
      <w:r w:rsidRPr="006A447F">
        <w:rPr>
          <w:rFonts w:asciiTheme="minorHAnsi" w:hAnsiTheme="minorHAnsi" w:cstheme="minorHAnsi"/>
          <w:szCs w:val="24"/>
        </w:rPr>
        <w:t xml:space="preserve">run-on, which is paid for 4 weeks after they stop qualifying for Working Tax Credit </w:t>
      </w:r>
    </w:p>
    <w:p w14:paraId="635A7CA1" w14:textId="77777777" w:rsidR="0046242A" w:rsidRPr="006A447F" w:rsidRDefault="006A447F" w:rsidP="00D271D8">
      <w:pPr>
        <w:numPr>
          <w:ilvl w:val="1"/>
          <w:numId w:val="1"/>
        </w:numPr>
        <w:ind w:left="990" w:hanging="450"/>
        <w:rPr>
          <w:rFonts w:asciiTheme="minorHAnsi" w:hAnsiTheme="minorHAnsi" w:cstheme="minorHAnsi"/>
          <w:szCs w:val="24"/>
        </w:rPr>
      </w:pPr>
      <w:hyperlink r:id="rId25">
        <w:r w:rsidR="003B02C9" w:rsidRPr="006A447F">
          <w:rPr>
            <w:rFonts w:asciiTheme="minorHAnsi" w:hAnsiTheme="minorHAnsi" w:cstheme="minorHAnsi"/>
            <w:szCs w:val="24"/>
          </w:rPr>
          <w:t>Universal Credit</w:t>
        </w:r>
      </w:hyperlink>
      <w:hyperlink r:id="rId26">
        <w:r w:rsidR="003B02C9" w:rsidRPr="006A447F">
          <w:rPr>
            <w:rFonts w:asciiTheme="minorHAnsi" w:hAnsiTheme="minorHAnsi" w:cstheme="minorHAnsi"/>
            <w:szCs w:val="24"/>
          </w:rPr>
          <w:t xml:space="preserve"> </w:t>
        </w:r>
      </w:hyperlink>
    </w:p>
    <w:p w14:paraId="216C225A" w14:textId="77777777" w:rsidR="0046242A" w:rsidRPr="006A447F" w:rsidRDefault="003B02C9" w:rsidP="00D271D8">
      <w:pPr>
        <w:numPr>
          <w:ilvl w:val="0"/>
          <w:numId w:val="3"/>
        </w:numPr>
        <w:spacing w:after="0" w:line="259" w:lineRule="auto"/>
        <w:ind w:left="1080" w:hanging="540"/>
        <w:rPr>
          <w:rFonts w:asciiTheme="minorHAnsi" w:hAnsiTheme="minorHAnsi" w:cstheme="minorHAnsi"/>
          <w:szCs w:val="24"/>
        </w:rPr>
      </w:pPr>
      <w:r w:rsidRPr="006A447F">
        <w:rPr>
          <w:rFonts w:asciiTheme="minorHAnsi" w:hAnsiTheme="minorHAnsi" w:cstheme="minorHAnsi"/>
          <w:szCs w:val="24"/>
        </w:rPr>
        <w:t xml:space="preserve">they have been in local-authority care for 1 day or more in England or Wales </w:t>
      </w:r>
    </w:p>
    <w:p w14:paraId="4C6EA5D2" w14:textId="77777777" w:rsidR="0046242A" w:rsidRPr="006A447F" w:rsidRDefault="003B02C9" w:rsidP="00D271D8">
      <w:pPr>
        <w:numPr>
          <w:ilvl w:val="0"/>
          <w:numId w:val="3"/>
        </w:numPr>
        <w:ind w:left="1080" w:hanging="540"/>
        <w:rPr>
          <w:rFonts w:asciiTheme="minorHAnsi" w:hAnsiTheme="minorHAnsi" w:cstheme="minorHAnsi"/>
          <w:szCs w:val="24"/>
        </w:rPr>
      </w:pPr>
      <w:r w:rsidRPr="006A447F">
        <w:rPr>
          <w:rFonts w:asciiTheme="minorHAnsi" w:hAnsiTheme="minorHAnsi" w:cstheme="minorHAnsi"/>
          <w:szCs w:val="24"/>
        </w:rPr>
        <w:t xml:space="preserve">they have been adopted from care in England or Wales </w:t>
      </w:r>
    </w:p>
    <w:p w14:paraId="4BDC3BEF" w14:textId="77777777" w:rsidR="0046242A" w:rsidRPr="006A447F" w:rsidRDefault="003B02C9" w:rsidP="00D271D8">
      <w:pPr>
        <w:numPr>
          <w:ilvl w:val="0"/>
          <w:numId w:val="3"/>
        </w:numPr>
        <w:spacing w:after="271"/>
        <w:ind w:left="1080" w:hanging="540"/>
        <w:rPr>
          <w:rFonts w:asciiTheme="minorHAnsi" w:hAnsiTheme="minorHAnsi" w:cstheme="minorHAnsi"/>
          <w:szCs w:val="24"/>
        </w:rPr>
      </w:pPr>
      <w:r w:rsidRPr="006A447F">
        <w:rPr>
          <w:rFonts w:asciiTheme="minorHAnsi" w:hAnsiTheme="minorHAnsi" w:cstheme="minorHAnsi"/>
          <w:szCs w:val="24"/>
        </w:rPr>
        <w:t xml:space="preserve">they have left care under a special guardianship order or residence order in England or Wales </w:t>
      </w:r>
    </w:p>
    <w:p w14:paraId="5AF42713" w14:textId="77777777" w:rsidR="0046242A" w:rsidRPr="006A447F" w:rsidRDefault="003B02C9">
      <w:pPr>
        <w:spacing w:after="269"/>
        <w:ind w:left="-5"/>
        <w:rPr>
          <w:rFonts w:asciiTheme="minorHAnsi" w:hAnsiTheme="minorHAnsi" w:cstheme="minorHAnsi"/>
          <w:szCs w:val="24"/>
        </w:rPr>
      </w:pPr>
      <w:r w:rsidRPr="006A447F">
        <w:rPr>
          <w:rFonts w:asciiTheme="minorHAnsi" w:hAnsiTheme="minorHAnsi" w:cstheme="minorHAnsi"/>
          <w:szCs w:val="24"/>
        </w:rPr>
        <w:t>Children must receive</w:t>
      </w:r>
      <w:hyperlink r:id="rId27">
        <w:r w:rsidRPr="006A447F">
          <w:rPr>
            <w:rFonts w:asciiTheme="minorHAnsi" w:hAnsiTheme="minorHAnsi" w:cstheme="minorHAnsi"/>
            <w:szCs w:val="24"/>
          </w:rPr>
          <w:t xml:space="preserve"> </w:t>
        </w:r>
      </w:hyperlink>
      <w:hyperlink r:id="rId28">
        <w:r w:rsidRPr="006A447F">
          <w:rPr>
            <w:rFonts w:asciiTheme="minorHAnsi" w:hAnsiTheme="minorHAnsi" w:cstheme="minorHAnsi"/>
            <w:szCs w:val="24"/>
          </w:rPr>
          <w:t>free early education</w:t>
        </w:r>
      </w:hyperlink>
      <w:hyperlink r:id="rId29">
        <w:r w:rsidRPr="006A447F">
          <w:rPr>
            <w:rFonts w:asciiTheme="minorHAnsi" w:hAnsiTheme="minorHAnsi" w:cstheme="minorHAnsi"/>
            <w:szCs w:val="24"/>
          </w:rPr>
          <w:t xml:space="preserve"> </w:t>
        </w:r>
      </w:hyperlink>
      <w:r w:rsidRPr="006A447F">
        <w:rPr>
          <w:rFonts w:asciiTheme="minorHAnsi" w:hAnsiTheme="minorHAnsi" w:cstheme="minorHAnsi"/>
          <w:szCs w:val="24"/>
        </w:rPr>
        <w:t xml:space="preserve">in order to attract Early Years Pupil Premium funding. They do not have to take up the full 570 hours of early education they are entitled to in order to get Early Years Pupil Premium. </w:t>
      </w:r>
    </w:p>
    <w:p w14:paraId="638BE947" w14:textId="77777777" w:rsidR="0046242A" w:rsidRPr="006A447F" w:rsidRDefault="003B02C9">
      <w:pPr>
        <w:spacing w:after="271"/>
        <w:ind w:left="-5"/>
        <w:rPr>
          <w:rFonts w:asciiTheme="minorHAnsi" w:hAnsiTheme="minorHAnsi" w:cstheme="minorHAnsi"/>
          <w:szCs w:val="24"/>
        </w:rPr>
      </w:pPr>
      <w:r w:rsidRPr="006A447F">
        <w:rPr>
          <w:rFonts w:asciiTheme="minorHAnsi" w:hAnsiTheme="minorHAnsi" w:cstheme="minorHAnsi"/>
          <w:szCs w:val="24"/>
        </w:rPr>
        <w:t xml:space="preserve">Children become eligible for free early education at different points in the year depending on when they turn 3. Details of </w:t>
      </w:r>
      <w:hyperlink r:id="rId30">
        <w:r w:rsidRPr="006A447F">
          <w:rPr>
            <w:rFonts w:asciiTheme="minorHAnsi" w:hAnsiTheme="minorHAnsi" w:cstheme="minorHAnsi"/>
            <w:szCs w:val="24"/>
          </w:rPr>
          <w:t>the dates when children become eligible</w:t>
        </w:r>
      </w:hyperlink>
      <w:hyperlink r:id="rId31">
        <w:r w:rsidRPr="006A447F">
          <w:rPr>
            <w:rFonts w:asciiTheme="minorHAnsi" w:hAnsiTheme="minorHAnsi" w:cstheme="minorHAnsi"/>
            <w:szCs w:val="24"/>
          </w:rPr>
          <w:t xml:space="preserve"> </w:t>
        </w:r>
      </w:hyperlink>
      <w:r w:rsidRPr="006A447F">
        <w:rPr>
          <w:rFonts w:asciiTheme="minorHAnsi" w:hAnsiTheme="minorHAnsi" w:cstheme="minorHAnsi"/>
          <w:szCs w:val="24"/>
        </w:rPr>
        <w:t xml:space="preserve">are available.  </w:t>
      </w:r>
    </w:p>
    <w:p w14:paraId="09813FC8" w14:textId="77777777" w:rsidR="0046242A" w:rsidRPr="006A447F" w:rsidRDefault="003B02C9" w:rsidP="00D271D8">
      <w:pPr>
        <w:spacing w:after="271"/>
        <w:ind w:left="-5"/>
        <w:rPr>
          <w:rFonts w:asciiTheme="minorHAnsi" w:hAnsiTheme="minorHAnsi" w:cstheme="minorHAnsi"/>
          <w:szCs w:val="24"/>
        </w:rPr>
      </w:pPr>
      <w:r w:rsidRPr="006A447F">
        <w:rPr>
          <w:rFonts w:asciiTheme="minorHAnsi" w:hAnsiTheme="minorHAnsi" w:cstheme="minorHAnsi"/>
          <w:szCs w:val="24"/>
        </w:rPr>
        <w:t xml:space="preserve">Please note that 4-year-olds in primary school reception classes who already receive the </w:t>
      </w:r>
      <w:hyperlink r:id="rId32">
        <w:r w:rsidRPr="006A447F">
          <w:rPr>
            <w:rFonts w:asciiTheme="minorHAnsi" w:hAnsiTheme="minorHAnsi" w:cstheme="minorHAnsi"/>
            <w:szCs w:val="24"/>
          </w:rPr>
          <w:t>school</w:t>
        </w:r>
      </w:hyperlink>
      <w:hyperlink r:id="rId33">
        <w:r w:rsidRPr="006A447F">
          <w:rPr>
            <w:rFonts w:asciiTheme="minorHAnsi" w:hAnsiTheme="minorHAnsi" w:cstheme="minorHAnsi"/>
            <w:szCs w:val="24"/>
          </w:rPr>
          <w:t>-</w:t>
        </w:r>
      </w:hyperlink>
      <w:hyperlink r:id="rId34">
        <w:r w:rsidRPr="006A447F">
          <w:rPr>
            <w:rFonts w:asciiTheme="minorHAnsi" w:hAnsiTheme="minorHAnsi" w:cstheme="minorHAnsi"/>
            <w:szCs w:val="24"/>
          </w:rPr>
          <w:t>age pupil premium</w:t>
        </w:r>
      </w:hyperlink>
      <w:hyperlink r:id="rId35">
        <w:r w:rsidRPr="006A447F">
          <w:rPr>
            <w:rFonts w:asciiTheme="minorHAnsi" w:hAnsiTheme="minorHAnsi" w:cstheme="minorHAnsi"/>
            <w:szCs w:val="24"/>
          </w:rPr>
          <w:t xml:space="preserve"> </w:t>
        </w:r>
      </w:hyperlink>
      <w:r w:rsidRPr="006A447F">
        <w:rPr>
          <w:rFonts w:asciiTheme="minorHAnsi" w:hAnsiTheme="minorHAnsi" w:cstheme="minorHAnsi"/>
          <w:szCs w:val="24"/>
        </w:rPr>
        <w:t xml:space="preserve">are not eligible for Early Years Pupil Premium funding. </w:t>
      </w:r>
    </w:p>
    <w:p w14:paraId="3E78A037" w14:textId="77777777" w:rsidR="0046242A" w:rsidRPr="006A447F" w:rsidRDefault="003B02C9" w:rsidP="00D271D8">
      <w:pPr>
        <w:pStyle w:val="Heading1"/>
        <w:spacing w:after="120"/>
        <w:ind w:left="-5"/>
        <w:rPr>
          <w:rFonts w:asciiTheme="minorHAnsi" w:hAnsiTheme="minorHAnsi" w:cstheme="minorHAnsi"/>
          <w:sz w:val="24"/>
          <w:szCs w:val="24"/>
        </w:rPr>
      </w:pPr>
      <w:r w:rsidRPr="006A447F">
        <w:rPr>
          <w:rFonts w:asciiTheme="minorHAnsi" w:hAnsiTheme="minorHAnsi" w:cstheme="minorHAnsi"/>
          <w:sz w:val="24"/>
          <w:szCs w:val="24"/>
        </w:rPr>
        <w:t xml:space="preserve">Impact of Early Years Pupil Premium </w:t>
      </w:r>
    </w:p>
    <w:p w14:paraId="34A73F8A" w14:textId="77777777" w:rsidR="0046242A" w:rsidRPr="006A447F" w:rsidRDefault="003B02C9" w:rsidP="00D271D8">
      <w:pPr>
        <w:spacing w:after="120"/>
        <w:ind w:left="-5"/>
        <w:rPr>
          <w:rFonts w:asciiTheme="minorHAnsi" w:hAnsiTheme="minorHAnsi" w:cstheme="minorHAnsi"/>
          <w:szCs w:val="24"/>
        </w:rPr>
      </w:pPr>
      <w:r w:rsidRPr="006A447F">
        <w:rPr>
          <w:rFonts w:asciiTheme="minorHAnsi" w:hAnsiTheme="minorHAnsi" w:cstheme="minorHAnsi"/>
          <w:szCs w:val="24"/>
        </w:rPr>
        <w:t xml:space="preserve">We will monitor and measure the impact of our investment of Early Years Pupil Premium by </w:t>
      </w:r>
      <w:r w:rsidR="00D271D8" w:rsidRPr="006A447F">
        <w:rPr>
          <w:rFonts w:asciiTheme="minorHAnsi" w:hAnsiTheme="minorHAnsi" w:cstheme="minorHAnsi"/>
          <w:szCs w:val="24"/>
        </w:rPr>
        <w:t>looking at</w:t>
      </w:r>
      <w:r w:rsidRPr="006A447F">
        <w:rPr>
          <w:rFonts w:asciiTheme="minorHAnsi" w:hAnsiTheme="minorHAnsi" w:cstheme="minorHAnsi"/>
          <w:szCs w:val="24"/>
        </w:rPr>
        <w:t xml:space="preserve"> baseline assessment from which we will formulate a </w:t>
      </w:r>
      <w:proofErr w:type="spellStart"/>
      <w:r w:rsidRPr="006A447F">
        <w:rPr>
          <w:rFonts w:asciiTheme="minorHAnsi" w:hAnsiTheme="minorHAnsi" w:cstheme="minorHAnsi"/>
          <w:szCs w:val="24"/>
        </w:rPr>
        <w:t>personalised</w:t>
      </w:r>
      <w:proofErr w:type="spellEnd"/>
      <w:r w:rsidRPr="006A447F">
        <w:rPr>
          <w:rFonts w:asciiTheme="minorHAnsi" w:hAnsiTheme="minorHAnsi" w:cstheme="minorHAnsi"/>
          <w:szCs w:val="24"/>
        </w:rPr>
        <w:t xml:space="preserve"> intervention plan. The intervention plan will highlight where the eligible child is secure in their Early Years Foundation Stage learning and development and identify the areas of intervention which will enable the child to achieve accelerated progress. We will monitor termly the impact the intervention is having on the child to ensure that the child is making progress in line with their peers.  This will be achieved using data from their Individual Learning Plans and ECAT tracking.</w:t>
      </w:r>
    </w:p>
    <w:p w14:paraId="0F3D57A5" w14:textId="77777777" w:rsidR="0046242A" w:rsidRPr="006A447F" w:rsidRDefault="003B02C9">
      <w:pPr>
        <w:spacing w:after="0" w:line="259" w:lineRule="auto"/>
        <w:ind w:left="0" w:firstLine="0"/>
        <w:rPr>
          <w:rFonts w:asciiTheme="minorHAnsi" w:hAnsiTheme="minorHAnsi" w:cstheme="minorHAnsi"/>
          <w:szCs w:val="24"/>
        </w:rPr>
      </w:pPr>
      <w:r w:rsidRPr="006A447F">
        <w:rPr>
          <w:rFonts w:asciiTheme="minorHAnsi" w:hAnsiTheme="minorHAnsi" w:cstheme="minorHAnsi"/>
          <w:szCs w:val="24"/>
        </w:rPr>
        <w:t xml:space="preserve"> </w:t>
      </w:r>
    </w:p>
    <w:p w14:paraId="3F58057F" w14:textId="77777777" w:rsidR="0046242A" w:rsidRPr="006A447F" w:rsidRDefault="003B02C9">
      <w:pPr>
        <w:ind w:left="-5"/>
        <w:rPr>
          <w:rFonts w:asciiTheme="minorHAnsi" w:hAnsiTheme="minorHAnsi" w:cstheme="minorHAnsi"/>
          <w:szCs w:val="24"/>
        </w:rPr>
      </w:pPr>
      <w:r w:rsidRPr="006A447F">
        <w:rPr>
          <w:rFonts w:asciiTheme="minorHAnsi" w:hAnsiTheme="minorHAnsi" w:cstheme="minorHAnsi"/>
          <w:szCs w:val="24"/>
        </w:rPr>
        <w:t xml:space="preserve">The effectiveness of our deployment of Early Years Pupil Premium will be </w:t>
      </w:r>
      <w:r w:rsidR="00D271D8" w:rsidRPr="006A447F">
        <w:rPr>
          <w:rFonts w:asciiTheme="minorHAnsi" w:hAnsiTheme="minorHAnsi" w:cstheme="minorHAnsi"/>
          <w:szCs w:val="24"/>
        </w:rPr>
        <w:t xml:space="preserve">available to parents/carers along with opportunity to feedback their views about how the monies have been spent. The EYPP information will be </w:t>
      </w:r>
      <w:r w:rsidRPr="006A447F">
        <w:rPr>
          <w:rFonts w:asciiTheme="minorHAnsi" w:hAnsiTheme="minorHAnsi" w:cstheme="minorHAnsi"/>
          <w:szCs w:val="24"/>
        </w:rPr>
        <w:t xml:space="preserve">published </w:t>
      </w:r>
      <w:r w:rsidR="00D271D8" w:rsidRPr="006A447F">
        <w:rPr>
          <w:rFonts w:asciiTheme="minorHAnsi" w:hAnsiTheme="minorHAnsi" w:cstheme="minorHAnsi"/>
          <w:szCs w:val="24"/>
        </w:rPr>
        <w:t>and available alongside the Preschools policy documents; they</w:t>
      </w:r>
      <w:r w:rsidRPr="006A447F">
        <w:rPr>
          <w:rFonts w:asciiTheme="minorHAnsi" w:hAnsiTheme="minorHAnsi" w:cstheme="minorHAnsi"/>
          <w:szCs w:val="24"/>
        </w:rPr>
        <w:t xml:space="preserve"> will highlight the funding we have received and how this money has been used to improve outcomes for our eligible children.  </w:t>
      </w:r>
    </w:p>
    <w:sectPr w:rsidR="0046242A" w:rsidRPr="006A447F" w:rsidSect="00D271D8">
      <w:pgSz w:w="11906" w:h="16838"/>
      <w:pgMar w:top="900" w:right="1459" w:bottom="11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37E67"/>
    <w:multiLevelType w:val="hybridMultilevel"/>
    <w:tmpl w:val="1BFE5F72"/>
    <w:lvl w:ilvl="0" w:tplc="04090003">
      <w:start w:val="1"/>
      <w:numFmt w:val="bullet"/>
      <w:lvlText w:val="o"/>
      <w:lvlJc w:val="left"/>
      <w:pPr>
        <w:ind w:left="720"/>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5A969D9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104CBF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0EA665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9C0B64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4D6B77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A862B0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EF2ED1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AD89A0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81B6EDD"/>
    <w:multiLevelType w:val="hybridMultilevel"/>
    <w:tmpl w:val="CF381656"/>
    <w:lvl w:ilvl="0" w:tplc="538EDC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969D9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104CBF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0EA665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9C0B64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4D6B77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A862B0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EF2ED1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AD89A0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F664BBD"/>
    <w:multiLevelType w:val="hybridMultilevel"/>
    <w:tmpl w:val="90941E16"/>
    <w:lvl w:ilvl="0" w:tplc="04090003">
      <w:start w:val="1"/>
      <w:numFmt w:val="bullet"/>
      <w:lvlText w:val="o"/>
      <w:lvlJc w:val="left"/>
      <w:pPr>
        <w:ind w:left="1329" w:hanging="360"/>
      </w:pPr>
      <w:rPr>
        <w:rFonts w:ascii="Courier New" w:hAnsi="Courier New" w:cs="Courier New" w:hint="default"/>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2A"/>
    <w:rsid w:val="003B02C9"/>
    <w:rsid w:val="0046242A"/>
    <w:rsid w:val="006A447F"/>
    <w:rsid w:val="00D2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6BAB"/>
  <w15:docId w15:val="{5BC671A4-A94C-446A-84C1-660D031C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paragraph" w:styleId="ListParagraph">
    <w:name w:val="List Paragraph"/>
    <w:basedOn w:val="Normal"/>
    <w:uiPriority w:val="34"/>
    <w:qFormat/>
    <w:rsid w:val="00D27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income-support" TargetMode="External"/><Relationship Id="rId13" Type="http://schemas.openxmlformats.org/officeDocument/2006/relationships/hyperlink" Target="http://www.legislation.gov.uk/ukpga/1999/33/part/VI" TargetMode="External"/><Relationship Id="rId18" Type="http://schemas.openxmlformats.org/officeDocument/2006/relationships/hyperlink" Target="https://www.gov.uk/child-tax-credit/overview" TargetMode="External"/><Relationship Id="rId26" Type="http://schemas.openxmlformats.org/officeDocument/2006/relationships/hyperlink" Target="https://www.gov.uk/universal-credit" TargetMode="External"/><Relationship Id="rId3" Type="http://schemas.openxmlformats.org/officeDocument/2006/relationships/styles" Target="styles.xml"/><Relationship Id="rId21" Type="http://schemas.openxmlformats.org/officeDocument/2006/relationships/hyperlink" Target="https://www.gov.uk/working-tax-credit" TargetMode="External"/><Relationship Id="rId34" Type="http://schemas.openxmlformats.org/officeDocument/2006/relationships/hyperlink" Target="https://www.gov.uk/pupil-premium-information-for-schools-and-alternative-provision-settings" TargetMode="External"/><Relationship Id="rId7" Type="http://schemas.openxmlformats.org/officeDocument/2006/relationships/hyperlink" Target="https://www.gov.uk/income-support" TargetMode="External"/><Relationship Id="rId12" Type="http://schemas.openxmlformats.org/officeDocument/2006/relationships/hyperlink" Target="https://www.gov.uk/employment-support-allowance" TargetMode="External"/><Relationship Id="rId17" Type="http://schemas.openxmlformats.org/officeDocument/2006/relationships/hyperlink" Target="https://www.gov.uk/child-tax-credit/overview" TargetMode="External"/><Relationship Id="rId25" Type="http://schemas.openxmlformats.org/officeDocument/2006/relationships/hyperlink" Target="https://www.gov.uk/universal-credit" TargetMode="External"/><Relationship Id="rId33" Type="http://schemas.openxmlformats.org/officeDocument/2006/relationships/hyperlink" Target="https://www.gov.uk/pupil-premium-information-for-schools-and-alternative-provision-settings" TargetMode="External"/><Relationship Id="rId2" Type="http://schemas.openxmlformats.org/officeDocument/2006/relationships/numbering" Target="numbering.xml"/><Relationship Id="rId16" Type="http://schemas.openxmlformats.org/officeDocument/2006/relationships/hyperlink" Target="https://www.gov.uk/pension-credit/overview" TargetMode="External"/><Relationship Id="rId20" Type="http://schemas.openxmlformats.org/officeDocument/2006/relationships/hyperlink" Target="https://www.gov.uk/working-tax-credit" TargetMode="External"/><Relationship Id="rId29" Type="http://schemas.openxmlformats.org/officeDocument/2006/relationships/hyperlink" Target="https://www.gov.uk/free-early-education"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gov.uk/employment-support-allowance" TargetMode="External"/><Relationship Id="rId24" Type="http://schemas.openxmlformats.org/officeDocument/2006/relationships/hyperlink" Target="https://www.gov.uk/working-tax-credit" TargetMode="External"/><Relationship Id="rId32" Type="http://schemas.openxmlformats.org/officeDocument/2006/relationships/hyperlink" Target="https://www.gov.uk/pupil-premium-information-for-schools-and-alternative-provision-setting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pension-credit/overview" TargetMode="External"/><Relationship Id="rId23" Type="http://schemas.openxmlformats.org/officeDocument/2006/relationships/hyperlink" Target="https://www.gov.uk/working-tax-credit" TargetMode="External"/><Relationship Id="rId28" Type="http://schemas.openxmlformats.org/officeDocument/2006/relationships/hyperlink" Target="https://www.gov.uk/free-early-education" TargetMode="External"/><Relationship Id="rId36" Type="http://schemas.openxmlformats.org/officeDocument/2006/relationships/fontTable" Target="fontTable.xml"/><Relationship Id="rId10" Type="http://schemas.openxmlformats.org/officeDocument/2006/relationships/hyperlink" Target="https://www.gov.uk/jobseekers-allowance" TargetMode="External"/><Relationship Id="rId19" Type="http://schemas.openxmlformats.org/officeDocument/2006/relationships/hyperlink" Target="https://www.gov.uk/working-tax-credit" TargetMode="External"/><Relationship Id="rId31" Type="http://schemas.openxmlformats.org/officeDocument/2006/relationships/hyperlink" Target="http://www.gov.uk/free-early-education" TargetMode="External"/><Relationship Id="rId4" Type="http://schemas.openxmlformats.org/officeDocument/2006/relationships/settings" Target="settings.xml"/><Relationship Id="rId9" Type="http://schemas.openxmlformats.org/officeDocument/2006/relationships/hyperlink" Target="https://www.gov.uk/jobseekers-allowance" TargetMode="External"/><Relationship Id="rId14" Type="http://schemas.openxmlformats.org/officeDocument/2006/relationships/hyperlink" Target="http://www.legislation.gov.uk/ukpga/1999/33/part/VI" TargetMode="External"/><Relationship Id="rId22" Type="http://schemas.openxmlformats.org/officeDocument/2006/relationships/hyperlink" Target="https://www.gov.uk/working-tax-credit" TargetMode="External"/><Relationship Id="rId27" Type="http://schemas.openxmlformats.org/officeDocument/2006/relationships/hyperlink" Target="https://www.gov.uk/free-early-education" TargetMode="External"/><Relationship Id="rId30" Type="http://schemas.openxmlformats.org/officeDocument/2006/relationships/hyperlink" Target="http://www.gov.uk/free-early-education" TargetMode="External"/><Relationship Id="rId35" Type="http://schemas.openxmlformats.org/officeDocument/2006/relationships/hyperlink" Target="https://www.gov.uk/pupil-premium-information-for-schools-and-alternative-provision-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6E8AC-45E3-42D8-A36D-DF5641EB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Nikki Dawkins</cp:lastModifiedBy>
  <cp:revision>2</cp:revision>
  <dcterms:created xsi:type="dcterms:W3CDTF">2021-09-09T10:42:00Z</dcterms:created>
  <dcterms:modified xsi:type="dcterms:W3CDTF">2021-09-09T10:42:00Z</dcterms:modified>
</cp:coreProperties>
</file>